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b/>
          <w:bCs/>
          <w:sz w:val="36"/>
          <w:szCs w:val="44"/>
          <w:lang w:val="en-US" w:eastAsia="zh-CN"/>
        </w:rPr>
      </w:pPr>
      <w:r>
        <w:rPr>
          <w:rFonts w:hint="eastAsia"/>
          <w:b/>
          <w:bCs/>
          <w:sz w:val="36"/>
          <w:szCs w:val="44"/>
          <w:lang w:val="en-US" w:eastAsia="zh-CN"/>
        </w:rPr>
        <w:t>医学技术与工程学院2021年招生宣传方案</w:t>
      </w:r>
    </w:p>
    <w:p>
      <w:pPr>
        <w:numPr>
          <w:ilvl w:val="0"/>
          <w:numId w:val="0"/>
        </w:numPr>
        <w:ind w:firstLine="620" w:firstLineChars="200"/>
        <w:rPr>
          <w:rFonts w:hint="default"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ascii="仿宋" w:hAnsi="仿宋" w:eastAsia="仿宋" w:cs="仿宋"/>
          <w:i w:val="0"/>
          <w:caps w:val="0"/>
          <w:color w:val="000000" w:themeColor="text1"/>
          <w:spacing w:val="0"/>
          <w:sz w:val="31"/>
          <w:szCs w:val="31"/>
          <w:shd w:val="clear" w:fill="FFFFFF"/>
          <w14:textFill>
            <w14:solidFill>
              <w14:schemeClr w14:val="tx1"/>
            </w14:solidFill>
          </w14:textFill>
        </w:rPr>
        <w:t>为了适应新时期的招生形势，展示学院综合实力、办学水平和办学优势，加深社会对学院的了解认同，扩大学院影响力，吸引优秀生源报考，持续提高生源数量和质量，根据学校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相关文件</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的精神，特制定本方案。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1"/>
          <w:szCs w:val="31"/>
          <w:shd w:val="clear" w:fill="FFFFFF"/>
          <w:lang w:val="en-US" w:eastAsia="zh-CN" w:bidi="ar"/>
        </w:rPr>
        <w:t>一、</w:t>
      </w:r>
      <w:r>
        <w:rPr>
          <w:rFonts w:ascii="黑体" w:hAnsi="宋体" w:eastAsia="黑体" w:cs="黑体"/>
          <w:i w:val="0"/>
          <w:caps w:val="0"/>
          <w:color w:val="333333"/>
          <w:spacing w:val="0"/>
          <w:kern w:val="0"/>
          <w:sz w:val="31"/>
          <w:szCs w:val="31"/>
          <w:shd w:val="clear" w:fill="FFFFFF"/>
          <w:lang w:val="en-US" w:eastAsia="zh-CN" w:bidi="ar"/>
        </w:rPr>
        <w:t>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为进一步做好招生宣传工作的统筹协调，保障工作的顺利实施，提高招生宣传工作的效果，学院成立</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2021年招生宣传工作领导小组。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组长：金湘东 李雯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组员：丁宁 毛朋涛 郭冬霞 周路坦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ascii="黑体" w:hAnsi="宋体" w:eastAsia="黑体" w:cs="黑体"/>
          <w:i w:val="0"/>
          <w:caps w:val="0"/>
          <w:color w:val="000000" w:themeColor="text1"/>
          <w:spacing w:val="0"/>
          <w:kern w:val="0"/>
          <w:sz w:val="31"/>
          <w:szCs w:val="31"/>
          <w:shd w:val="clear" w:fill="FFFFFF"/>
          <w:lang w:val="en-US" w:eastAsia="zh-CN" w:bidi="ar"/>
          <w14:textFill>
            <w14:solidFill>
              <w14:schemeClr w14:val="tx1"/>
            </w14:solidFill>
          </w14:textFill>
        </w:rPr>
        <w:t>二、工作内容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11" w:firstLineChars="100"/>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Style w:val="5"/>
          <w:rFonts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t>（一）常规宣传工作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、在做好学院网站信息实时更新的同时，申请学院的微信公众号，实现网站和微信同步更新，让学生和家长通过网络迅速便捷地了解我院各专业的学科建设、实习就业等方面的情况。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做好2021年医学技术与工程学院招生宣传资料的更新审定和印制工作，在保持和学校宣传基调一致的基础上，重点突出我院专业特色。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Style w:val="5"/>
          <w:rFonts w:hint="eastAsia"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t>（二）分管片区宣传工作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1、做好学院分管片区高中联络人的联系工作，统计拟开展宣传的学校，于高考期间和填报志愿期间两次深入对应学校进行宣传。（省外由招就处统一安排）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2、做好参与招生宣传教师的选拔工作，服从招就处统一调配加入高招线路，增强招生宣传的专业性和说服力。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微软雅黑" w:hAnsi="微软雅黑" w:eastAsia="微软雅黑" w:cs="微软雅黑"/>
          <w:i w:val="0"/>
          <w:caps w:val="0"/>
          <w:color w:val="000000" w:themeColor="text1"/>
          <w:spacing w:val="0"/>
          <w:sz w:val="21"/>
          <w:szCs w:val="21"/>
          <w:lang w:val="en-US"/>
          <w14:textFill>
            <w14:solidFill>
              <w14:schemeClr w14:val="tx1"/>
            </w14:solidFill>
          </w14:textFill>
        </w:rPr>
      </w:pPr>
      <w:r>
        <w:rPr>
          <w:rStyle w:val="5"/>
          <w:rFonts w:hint="eastAsia"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t>（三）主要举措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1、校内宣传：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（1）资料展示：在教学楼内设置招生宣传资料展示台、摆放资料供索取。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（2）接待参观：开展重返母校、家校互动等活动，对</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来校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咨询的</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考生和家长</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做好接待、解答、参观服务。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电话回访：在相关批次录取结束后及时对考生进行电话回访。对录取的考生表示祝贺并询问是否接到录取通知书；尤其对犹豫不决，不来报道的考生，向其传达河南省有关考试失信行为的惩戒措施，尽量说服其来校报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（4）在线咨询：安排专人做好电话、微信、QQ招生咨询答疑工作。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5）网络宣传：校园网、院系网页宣传资料的及时发布、更新；在学院网站开辟招生专栏，全面介绍我院的优势、特色及学科建设、师资队伍、人才培养、科学研究和社会服务情况，及时公布学院招生计划、专业介绍、招生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2.邮政宣传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向河南省内各地县高中学校邮寄宣传资料。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新媒体宣传</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rightChars="0"/>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阳光高考信息平台</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rightChars="0"/>
        <w:jc w:val="left"/>
        <w:rPr>
          <w:rFonts w:hint="default"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校友微信群、QQ群、在校生班级微信群等平台推送宣传资料。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leftChars="0" w:right="0" w:rightChars="0" w:firstLine="645" w:firstLineChars="0"/>
        <w:jc w:val="left"/>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外出宣传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rightChars="0" w:firstLine="620" w:firstLineChars="200"/>
        <w:jc w:val="left"/>
        <w:rPr>
          <w:rFonts w:hint="default"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深入包片地区和相关中学，通过组织考生及家长座谈会、咨询会、科普报告会等方式，介绍学校及我院学科设置、教学、活动、学术交流、学生就业等情况，解答考生及家长关心的问题。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eastAsia" w:ascii="黑体" w:hAnsi="宋体" w:eastAsia="黑体" w:cs="黑体"/>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黑体" w:hAnsi="宋体" w:eastAsia="黑体" w:cs="黑体"/>
          <w:i w:val="0"/>
          <w:caps w:val="0"/>
          <w:color w:val="000000" w:themeColor="text1"/>
          <w:spacing w:val="0"/>
          <w:kern w:val="0"/>
          <w:sz w:val="31"/>
          <w:szCs w:val="31"/>
          <w:shd w:val="clear" w:fill="FFFFFF"/>
          <w:lang w:val="en-US" w:eastAsia="zh-CN" w:bidi="ar"/>
          <w14:textFill>
            <w14:solidFill>
              <w14:schemeClr w14:val="tx1"/>
            </w14:solidFill>
          </w14:textFill>
        </w:rPr>
        <w:t>三、招生工作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11" w:firstLineChars="100"/>
        <w:jc w:val="left"/>
        <w:rPr>
          <w:rStyle w:val="5"/>
          <w:rFonts w:hint="default"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pPr>
      <w:r>
        <w:rPr>
          <w:rStyle w:val="5"/>
          <w:rFonts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t>（一）</w:t>
      </w:r>
      <w:r>
        <w:rPr>
          <w:rStyle w:val="5"/>
          <w:rFonts w:hint="eastAsia" w:ascii="楷体" w:hAnsi="楷体" w:eastAsia="楷体" w:cs="楷体"/>
          <w:b/>
          <w:i w:val="0"/>
          <w:caps w:val="0"/>
          <w:color w:val="000000" w:themeColor="text1"/>
          <w:spacing w:val="0"/>
          <w:kern w:val="0"/>
          <w:sz w:val="31"/>
          <w:szCs w:val="31"/>
          <w:shd w:val="clear" w:fill="FFFFFF"/>
          <w:lang w:val="en-US" w:eastAsia="zh-CN" w:bidi="ar"/>
          <w14:textFill>
            <w14:solidFill>
              <w14:schemeClr w14:val="tx1"/>
            </w14:solidFill>
          </w14:textFill>
        </w:rPr>
        <w:t>专业介绍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医学检验技术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000000" w:themeColor="text1"/>
          <w:spacing w:val="0"/>
          <w:kern w:val="0"/>
          <w:sz w:val="31"/>
          <w:szCs w:val="31"/>
          <w:shd w:val="clear" w:fill="FFFFFF"/>
          <w:lang w:val="en-US" w:eastAsia="zh-CN" w:bidi="ar"/>
          <w14:textFill>
            <w14:solidFill>
              <w14:schemeClr w14:val="tx1"/>
            </w14:solidFill>
          </w14:textFill>
        </w:rPr>
        <w:t>培养目标：</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培养具有良好的职业道德和人文素养,具有较高基础医学、临床医学和检验医学的基本知识和基本能力，具备医学检验、临床诊断等方面的操作技能，能在各级医院检验科、中心血站、疾病预防控制中心、生物制品公司和医疗器械公司等技术岗位（群）从事医学检验、医学类实验室工作和医疗器械销售等医学技术技能型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000000" w:themeColor="text1"/>
          <w:spacing w:val="0"/>
          <w:kern w:val="0"/>
          <w:sz w:val="31"/>
          <w:szCs w:val="31"/>
          <w:shd w:val="clear" w:fill="FFFFFF"/>
          <w:lang w:val="en-US" w:eastAsia="zh-CN" w:bidi="ar"/>
          <w14:textFill>
            <w14:solidFill>
              <w14:schemeClr w14:val="tx1"/>
            </w14:solidFill>
          </w14:textFill>
        </w:rPr>
        <w:t>就业方向：</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各级医院、中心血站、疾病预防控制中心、生物制品公司和医疗器械公司等医学检验技术及其相关拓展领域；可独立创办专业实验室等技术服务机构；也可根据国家政策进一步在相关专业及其分支领域继续深造获得更高层次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眼视光技术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培养目标：</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培养具有良好职业道德和人文素养，具备视光医学及相关基础医学、临床医学、预防医学等方面的基本知识和基本能力，熟练掌握眼视光技术专业领域的基本理论和操作技能，熟练从事验光配镜技术工作与相关业务管理工作、独立从事视觉保健服务相关工作等岗位（群）的医学技术技能型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就业方向：</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各级医院眼科（或眼科专科医院）、眼病防治与保健机构、各级质量技术监督检测部门、眼镜公司；可独立创办眼视光技术专业服务机构；也可根据国家政策进一步在相关专业及其分支领域继续深造获得更高层次就业。本专业社会需求量大，自开办以来实现带薪顶岗实习且毕业生一次性就业率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3.</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康复治疗类【康复治疗技术</w:t>
      </w:r>
      <w:r>
        <w:rPr>
          <w:rFonts w:hint="default" w:ascii="仿宋" w:hAnsi="仿宋" w:eastAsia="仿宋" w:cs="仿宋"/>
          <w:i w:val="0"/>
          <w:caps w:val="0"/>
          <w:color w:val="333333"/>
          <w:spacing w:val="0"/>
          <w:kern w:val="0"/>
          <w:sz w:val="31"/>
          <w:szCs w:val="31"/>
          <w:shd w:val="clear" w:fill="FFFFFF"/>
          <w:lang w:val="en-US" w:eastAsia="zh-CN" w:bidi="ar"/>
        </w:rPr>
        <w:t>、</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康复治疗技术（心肺康复方向）】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培养目标：</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培养具有良好职业道德和人文素养，具备康复医学及相关基础医学、临床医学和预防医学等方面的基本知识和基本能力；熟练掌握康复治疗技术的基本理论和基本技能；能在各级各类综合性医院康复科、独立康复理疗中心、家庭、社区康复治疗技术服务机构，从事康复保健和康复治疗工作等岗位（群）的医学技术技能型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就业方向</w:t>
      </w:r>
      <w:r>
        <w:rPr>
          <w:rFonts w:hint="default" w:ascii="仿宋" w:hAnsi="仿宋" w:eastAsia="仿宋" w:cs="仿宋"/>
          <w:b/>
          <w:bCs/>
          <w:i w:val="0"/>
          <w:caps w:val="0"/>
          <w:color w:val="000000" w:themeColor="text1"/>
          <w:spacing w:val="0"/>
          <w:kern w:val="0"/>
          <w:sz w:val="31"/>
          <w:szCs w:val="31"/>
          <w:shd w:val="clear" w:fill="FFFFFF"/>
          <w:lang w:val="en-US" w:eastAsia="zh-CN" w:bidi="ar"/>
          <w14:textFill>
            <w14:solidFill>
              <w14:schemeClr w14:val="tx1"/>
            </w14:solidFill>
          </w14:textFill>
        </w:rPr>
        <w:t>：</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各级各类综合医院康复科或独立康复理疗中心、康复医院、疗（休）养院、老年公寓、社区医疗服务中心（站）等康复技术服务机构；可独立创办专业康复技术服务机构；也可根据国家政策进一步在相关专业及其分支领域继续深造获得更高层次就业。本专业社会需求量大，就业前景较好，一次性就业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康复治疗技术（心肺康复方向）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培养目标：</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本专业培养具有较高素质、创新精神和实践能力的，适应21世纪我国医疗卫生事业改革发展和康复治疗领域发展需要的，掌握一定的基础医学、临床医学、康复治疗学基本理论和基本技能，掌握心肺康复基础知识和技能的，毕业后能在卫生、残联、民政系统下属的各级医院（包括社区医院、儿童医院、专门的康复医院）的康复部门、心内科、心外科、呼吸科、器官移植等部门从事心肺功能康复工作，在康复器材公司等相关岗位工作的高等技术应用型专门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b/>
          <w:bCs/>
          <w:i w:val="0"/>
          <w:caps w:val="0"/>
          <w:color w:val="333333"/>
          <w:spacing w:val="0"/>
          <w:kern w:val="0"/>
          <w:sz w:val="31"/>
          <w:szCs w:val="31"/>
          <w:shd w:val="clear" w:fill="FFFFFF"/>
          <w:lang w:val="en-US" w:eastAsia="zh-CN" w:bidi="ar"/>
        </w:rPr>
        <w:t>就业方向：</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康复治疗技术（肺康复方向）专业学生的职业范围主要为各级医院（包括社区医院、儿童医院、专科康复医院）的康复部门、心内科、心外科、呼吸科、器官移植等部门。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11" w:firstLineChars="100"/>
        <w:jc w:val="left"/>
        <w:rPr>
          <w:rFonts w:hint="default"/>
          <w:sz w:val="36"/>
          <w:szCs w:val="44"/>
          <w:lang w:val="en-US" w:eastAsia="zh-CN"/>
        </w:rPr>
      </w:pPr>
      <w:r>
        <w:rPr>
          <w:rStyle w:val="5"/>
          <w:rFonts w:ascii="楷体" w:hAnsi="楷体" w:eastAsia="楷体" w:cs="楷体"/>
          <w:b/>
          <w:i w:val="0"/>
          <w:caps w:val="0"/>
          <w:color w:val="333333"/>
          <w:spacing w:val="0"/>
          <w:kern w:val="0"/>
          <w:sz w:val="31"/>
          <w:szCs w:val="31"/>
          <w:shd w:val="clear" w:fill="FFFFFF"/>
          <w:lang w:val="en-US" w:eastAsia="zh-CN" w:bidi="ar"/>
        </w:rPr>
        <w:t>（</w:t>
      </w:r>
      <w:r>
        <w:rPr>
          <w:rStyle w:val="5"/>
          <w:rFonts w:hint="eastAsia" w:ascii="楷体" w:hAnsi="楷体" w:eastAsia="楷体" w:cs="楷体"/>
          <w:b/>
          <w:i w:val="0"/>
          <w:caps w:val="0"/>
          <w:color w:val="333333"/>
          <w:spacing w:val="0"/>
          <w:kern w:val="0"/>
          <w:sz w:val="31"/>
          <w:szCs w:val="31"/>
          <w:shd w:val="clear" w:fill="FFFFFF"/>
          <w:lang w:val="en-US" w:eastAsia="zh-CN" w:bidi="ar"/>
        </w:rPr>
        <w:t>二</w:t>
      </w:r>
      <w:r>
        <w:rPr>
          <w:rStyle w:val="5"/>
          <w:rFonts w:ascii="楷体" w:hAnsi="楷体" w:eastAsia="楷体" w:cs="楷体"/>
          <w:b/>
          <w:i w:val="0"/>
          <w:caps w:val="0"/>
          <w:color w:val="333333"/>
          <w:spacing w:val="0"/>
          <w:kern w:val="0"/>
          <w:sz w:val="31"/>
          <w:szCs w:val="31"/>
          <w:shd w:val="clear" w:fill="FFFFFF"/>
          <w:lang w:val="en-US" w:eastAsia="zh-CN" w:bidi="ar"/>
        </w:rPr>
        <w:t>）</w:t>
      </w:r>
      <w:r>
        <w:rPr>
          <w:rStyle w:val="5"/>
          <w:rFonts w:hint="eastAsia" w:ascii="楷体" w:hAnsi="楷体" w:eastAsia="楷体" w:cs="楷体"/>
          <w:b/>
          <w:i w:val="0"/>
          <w:caps w:val="0"/>
          <w:color w:val="333333"/>
          <w:spacing w:val="0"/>
          <w:kern w:val="0"/>
          <w:sz w:val="31"/>
          <w:szCs w:val="31"/>
          <w:shd w:val="clear" w:fill="FFFFFF"/>
          <w:lang w:val="en-US" w:eastAsia="zh-CN" w:bidi="ar"/>
        </w:rPr>
        <w:t>招生计划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根据教育部和省教育厅下达的招生计划，我</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院</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今年总体招生规模为</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515</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人。</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其中各专业在河南省招生计划人数分别为：医学检验技术110人，眼视光技术245人，</w:t>
      </w:r>
      <w:r>
        <w:rPr>
          <w:rFonts w:hint="default"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康复治疗</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技术115人，康复治疗技术（心肺康复方向）45人。</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11" w:firstLineChars="100"/>
        <w:jc w:val="left"/>
        <w:rPr>
          <w:rStyle w:val="5"/>
          <w:rFonts w:hint="eastAsia" w:ascii="楷体" w:hAnsi="楷体" w:eastAsia="楷体" w:cs="楷体"/>
          <w:b/>
          <w:i w:val="0"/>
          <w:caps w:val="0"/>
          <w:color w:val="333333"/>
          <w:spacing w:val="0"/>
          <w:kern w:val="0"/>
          <w:sz w:val="31"/>
          <w:szCs w:val="31"/>
          <w:shd w:val="clear" w:fill="FFFFFF"/>
          <w:lang w:val="en-US" w:eastAsia="zh-CN" w:bidi="ar"/>
        </w:rPr>
      </w:pPr>
      <w:r>
        <w:rPr>
          <w:rStyle w:val="5"/>
          <w:rFonts w:hint="eastAsia" w:ascii="楷体" w:hAnsi="楷体" w:eastAsia="楷体" w:cs="楷体"/>
          <w:b/>
          <w:i w:val="0"/>
          <w:caps w:val="0"/>
          <w:color w:val="333333"/>
          <w:spacing w:val="0"/>
          <w:kern w:val="0"/>
          <w:sz w:val="31"/>
          <w:szCs w:val="31"/>
          <w:shd w:val="clear" w:fill="FFFFFF"/>
          <w:lang w:val="en-US" w:eastAsia="zh-CN" w:bidi="ar"/>
        </w:rPr>
        <w:t>招生条件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default"/>
          <w:sz w:val="36"/>
          <w:szCs w:val="44"/>
          <w:lang w:val="en-US" w:eastAsia="zh-CN"/>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参加2021年全国普通高等学校招生全国统一考试的学生可报考我院。其他政策按照国家教育部几各省（自治区、直辖市）的有关文件精神执行。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1"/>
          <w:szCs w:val="31"/>
          <w:shd w:val="clear" w:fill="FFFFFF"/>
          <w:lang w:val="en-US" w:eastAsia="zh-CN" w:bidi="ar"/>
        </w:rPr>
        <w:t>四</w:t>
      </w:r>
      <w:r>
        <w:rPr>
          <w:rFonts w:ascii="黑体" w:hAnsi="宋体" w:eastAsia="黑体" w:cs="黑体"/>
          <w:i w:val="0"/>
          <w:caps w:val="0"/>
          <w:color w:val="333333"/>
          <w:spacing w:val="0"/>
          <w:kern w:val="0"/>
          <w:sz w:val="31"/>
          <w:szCs w:val="31"/>
          <w:shd w:val="clear" w:fill="FFFFFF"/>
          <w:lang w:val="en-US" w:eastAsia="zh-CN" w:bidi="ar"/>
        </w:rPr>
        <w:t>、经费预算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学校</w:t>
      </w: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2021年下拨我院招生工作专项经费若干，根据学院招生工作方案，预算如下：</w:t>
      </w:r>
    </w:p>
    <w:tbl>
      <w:tblPr>
        <w:tblStyle w:val="3"/>
        <w:tblW w:w="5265" w:type="dxa"/>
        <w:jc w:val="center"/>
        <w:shd w:val="clear" w:color="auto" w:fill="auto"/>
        <w:tblLayout w:type="fixed"/>
        <w:tblCellMar>
          <w:top w:w="0" w:type="dxa"/>
          <w:left w:w="0" w:type="dxa"/>
          <w:bottom w:w="0" w:type="dxa"/>
          <w:right w:w="0" w:type="dxa"/>
        </w:tblCellMar>
      </w:tblPr>
      <w:tblGrid>
        <w:gridCol w:w="1440"/>
        <w:gridCol w:w="3825"/>
      </w:tblGrid>
      <w:tr>
        <w:tblPrEx>
          <w:shd w:val="clear" w:color="auto" w:fill="auto"/>
          <w:tblCellMar>
            <w:top w:w="0" w:type="dxa"/>
            <w:left w:w="0" w:type="dxa"/>
            <w:bottom w:w="0" w:type="dxa"/>
            <w:right w:w="0" w:type="dxa"/>
          </w:tblCellMar>
        </w:tblPrEx>
        <w:trPr>
          <w:trHeight w:val="286" w:hRule="atLeast"/>
          <w:jc w:val="center"/>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序号</w:t>
            </w:r>
          </w:p>
        </w:tc>
        <w:tc>
          <w:tcPr>
            <w:tcW w:w="382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项目</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1</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学院微信公众号申请及维护</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2</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学院宣传资料印制</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3</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hint="eastAsia" w:cstheme="minorBidi"/>
                <w:color w:val="333333"/>
                <w:kern w:val="0"/>
                <w:sz w:val="22"/>
                <w:szCs w:val="22"/>
                <w:lang w:val="en-US" w:eastAsia="zh-CN" w:bidi="ar"/>
              </w:rPr>
              <w:t>外出</w:t>
            </w:r>
            <w:r>
              <w:rPr>
                <w:rFonts w:asciiTheme="minorHAnsi" w:hAnsiTheme="minorHAnsi" w:eastAsiaTheme="minorEastAsia" w:cstheme="minorBidi"/>
                <w:color w:val="333333"/>
                <w:kern w:val="0"/>
                <w:sz w:val="22"/>
                <w:szCs w:val="22"/>
                <w:lang w:val="en-US" w:eastAsia="zh-CN" w:bidi="ar"/>
              </w:rPr>
              <w:t>招生宣讲团师生差旅费、通讯费</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4</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家校互动日家长座谈会活动费</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5</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重返母校及家校互动工作人员话费补贴</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6</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color w:val="333333"/>
                <w:sz w:val="21"/>
                <w:szCs w:val="21"/>
              </w:rPr>
            </w:pPr>
            <w:r>
              <w:rPr>
                <w:rFonts w:asciiTheme="minorHAnsi" w:hAnsiTheme="minorHAnsi" w:eastAsiaTheme="minorEastAsia" w:cstheme="minorBidi"/>
                <w:color w:val="333333"/>
                <w:kern w:val="0"/>
                <w:sz w:val="22"/>
                <w:szCs w:val="22"/>
                <w:lang w:val="en-US" w:eastAsia="zh-CN" w:bidi="ar"/>
              </w:rPr>
              <w:t>校园开放日活动费、师生补贴</w:t>
            </w:r>
          </w:p>
        </w:tc>
      </w:tr>
      <w:tr>
        <w:tblPrEx>
          <w:tblCellMar>
            <w:top w:w="0" w:type="dxa"/>
            <w:left w:w="0" w:type="dxa"/>
            <w:bottom w:w="0" w:type="dxa"/>
            <w:right w:w="0" w:type="dxa"/>
          </w:tblCellMar>
        </w:tblPrEx>
        <w:trPr>
          <w:trHeight w:val="286" w:hRule="atLeast"/>
          <w:jc w:val="center"/>
        </w:trPr>
        <w:tc>
          <w:tcPr>
            <w:tcW w:w="14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rFonts w:hint="default" w:asciiTheme="minorHAnsi" w:hAnsiTheme="minorHAnsi" w:eastAsiaTheme="minorEastAsia" w:cstheme="minorBidi"/>
                <w:color w:val="333333"/>
                <w:kern w:val="0"/>
                <w:sz w:val="22"/>
                <w:szCs w:val="22"/>
                <w:lang w:val="en-US" w:eastAsia="zh-CN" w:bidi="ar"/>
              </w:rPr>
            </w:pPr>
            <w:r>
              <w:rPr>
                <w:rFonts w:hint="eastAsia" w:cstheme="minorBidi"/>
                <w:color w:val="333333"/>
                <w:kern w:val="0"/>
                <w:sz w:val="22"/>
                <w:szCs w:val="22"/>
                <w:lang w:val="en-US" w:eastAsia="zh-CN" w:bidi="ar"/>
              </w:rPr>
              <w:t>7</w:t>
            </w:r>
          </w:p>
        </w:tc>
        <w:tc>
          <w:tcPr>
            <w:tcW w:w="382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55" w:lineRule="atLeast"/>
              <w:ind w:left="0" w:right="0"/>
              <w:jc w:val="center"/>
              <w:textAlignment w:val="center"/>
              <w:rPr>
                <w:rFonts w:hint="default" w:asciiTheme="minorHAnsi" w:hAnsiTheme="minorHAnsi" w:eastAsiaTheme="minorEastAsia" w:cstheme="minorBidi"/>
                <w:color w:val="333333"/>
                <w:kern w:val="0"/>
                <w:sz w:val="22"/>
                <w:szCs w:val="22"/>
                <w:lang w:val="en-US" w:eastAsia="zh-CN" w:bidi="ar"/>
              </w:rPr>
            </w:pPr>
            <w:r>
              <w:rPr>
                <w:rFonts w:hint="eastAsia" w:cstheme="minorBidi"/>
                <w:color w:val="333333"/>
                <w:kern w:val="0"/>
                <w:sz w:val="22"/>
                <w:szCs w:val="22"/>
                <w:lang w:val="en-US" w:eastAsia="zh-CN" w:bidi="ar"/>
              </w:rPr>
              <w:t>邮寄宣传材料快递费</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bookmarkStart w:id="0" w:name="_GoBack"/>
      <w:bookmarkEnd w:id="0"/>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1、招生专项经费按预算申领，由院长审批；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2、各项费用由相应负责人在工作开展前按标准呈报详细预算后方可使用；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3、宣传活动结束后，需提供工作开展情况的记录和学校财务部门认可的票据方能报销。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黑体" w:hAnsi="宋体" w:eastAsia="黑体" w:cs="黑体"/>
          <w:i w:val="0"/>
          <w:caps w:val="0"/>
          <w:color w:val="000000" w:themeColor="text1"/>
          <w:spacing w:val="0"/>
          <w:kern w:val="0"/>
          <w:sz w:val="31"/>
          <w:szCs w:val="31"/>
          <w:shd w:val="clear" w:fill="FFFFFF"/>
          <w:lang w:val="en-US" w:eastAsia="zh-CN" w:bidi="ar"/>
          <w14:textFill>
            <w14:solidFill>
              <w14:schemeClr w14:val="tx1"/>
            </w14:solidFill>
          </w14:textFill>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1、高度重视，认真落实。招生宣传工作的好坏，直接关系到学院的生源质量，全院教职工务必要提高认识，树立大局意识和忧患意识，深刻认识做好招生工作的重要意义，按照招生宣传工作的要求，认真落实好各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kern w:val="0"/>
          <w:sz w:val="31"/>
          <w:szCs w:val="31"/>
          <w:shd w:val="clear" w:fill="FFFFFF"/>
          <w:lang w:val="en-US" w:eastAsia="zh-CN" w:bidi="ar"/>
          <w14:textFill>
            <w14:solidFill>
              <w14:schemeClr w14:val="tx1"/>
            </w14:solidFill>
          </w14:textFill>
        </w:rPr>
        <w:t>2、积极谋划，主动而为。全院教职工做到规定动作和自选动作齐头并进，积极发动各种资源、渠道广泛宣传，营造宣传氛围；做好招生宣传过程中影音资料的保存，在宣传工作结束后统一报送学院办公室存档。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 w:hAnsi="仿宋" w:eastAsia="仿宋" w:cs="仿宋"/>
          <w:i w:val="0"/>
          <w:caps w:val="0"/>
          <w:color w:val="333333"/>
          <w:spacing w:val="0"/>
          <w:kern w:val="0"/>
          <w:sz w:val="31"/>
          <w:szCs w:val="31"/>
          <w:shd w:val="clear" w:fill="FFFFFF"/>
          <w:lang w:val="en-US" w:eastAsia="zh-CN" w:bidi="ar"/>
        </w:rPr>
        <w:t> </w:t>
      </w:r>
    </w:p>
    <w:p>
      <w:pPr>
        <w:numPr>
          <w:ilvl w:val="0"/>
          <w:numId w:val="0"/>
        </w:numPr>
        <w:ind w:firstLine="720" w:firstLineChars="200"/>
        <w:rPr>
          <w:rFonts w:hint="default"/>
          <w:sz w:val="36"/>
          <w:szCs w:val="44"/>
          <w:lang w:val="en-US" w:eastAsia="zh-CN"/>
        </w:rPr>
      </w:pPr>
    </w:p>
    <w:p>
      <w:pPr>
        <w:numPr>
          <w:ilvl w:val="0"/>
          <w:numId w:val="0"/>
        </w:numPr>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A6573"/>
    <w:multiLevelType w:val="singleLevel"/>
    <w:tmpl w:val="DC0A6573"/>
    <w:lvl w:ilvl="0" w:tentative="0">
      <w:start w:val="2"/>
      <w:numFmt w:val="decimal"/>
      <w:suff w:val="nothing"/>
      <w:lvlText w:val="%1、"/>
      <w:lvlJc w:val="left"/>
    </w:lvl>
  </w:abstractNum>
  <w:abstractNum w:abstractNumId="1">
    <w:nsid w:val="ED75B9FC"/>
    <w:multiLevelType w:val="singleLevel"/>
    <w:tmpl w:val="ED75B9FC"/>
    <w:lvl w:ilvl="0" w:tentative="0">
      <w:start w:val="3"/>
      <w:numFmt w:val="chineseCounting"/>
      <w:suff w:val="nothing"/>
      <w:lvlText w:val="（%1）"/>
      <w:lvlJc w:val="left"/>
      <w:rPr>
        <w:rFonts w:hint="eastAsia"/>
      </w:rPr>
    </w:lvl>
  </w:abstractNum>
  <w:abstractNum w:abstractNumId="2">
    <w:nsid w:val="EDDC9506"/>
    <w:multiLevelType w:val="singleLevel"/>
    <w:tmpl w:val="EDDC9506"/>
    <w:lvl w:ilvl="0" w:tentative="0">
      <w:start w:val="1"/>
      <w:numFmt w:val="decimal"/>
      <w:suff w:val="nothing"/>
      <w:lvlText w:val="（%1）"/>
      <w:lvlJc w:val="left"/>
    </w:lvl>
  </w:abstractNum>
  <w:abstractNum w:abstractNumId="3">
    <w:nsid w:val="1EFBAAD0"/>
    <w:multiLevelType w:val="singleLevel"/>
    <w:tmpl w:val="1EFBAAD0"/>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922FD"/>
    <w:rsid w:val="0FAB28C4"/>
    <w:rsid w:val="21396329"/>
    <w:rsid w:val="34042790"/>
    <w:rsid w:val="36B04AC6"/>
    <w:rsid w:val="42B3223A"/>
    <w:rsid w:val="451F2592"/>
    <w:rsid w:val="5B6922FD"/>
    <w:rsid w:val="623D5365"/>
    <w:rsid w:val="718A7996"/>
    <w:rsid w:val="730F0948"/>
    <w:rsid w:val="736B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2019-06-24T02:58:00Z</dcterms:created>
  <dc:creator>吉祥张</dc:creator>
  <cp:lastModifiedBy>lenovo</cp:lastModifiedBy>
  <dcterms:modified xsi:type="dcterms:W3CDTF">2022-02-23T07:03:52Z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C694877263AD4B669D2418FDFAA9A100</vt:lpwstr>
  </property>
</Properties>
</file>